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2005 110 vom 13. Januar 2006</w:t>
      </w:r>
    </w:p>
    <w:p>
      <w:r>
        <w:t>GR Gerichte, 2006-01-13, DE</w:t>
      </w:r>
    </w:p>
    <w:p>
      <w:r>
        <w:rPr>
          <w:b/>
        </w:rPr>
        <w:t xml:space="preserve">Quelle: </w:t>
      </w:r>
      <w:r>
        <w:t>https://mcp.opencaselaw.ch/entscheid/gr_gerichte_U 2005 110</w:t>
      </w:r>
    </w:p>
    <w:p>
      <w:r>
        <w:t>FR: GR_GERICHTE U 2005 110 du 13 janvier 2006</w:t>
      </w:r>
    </w:p>
    <w:p>
      <w:r>
        <w:t>IT: GR_GERICHTE U 2005 110 del 13 gennaio 2006</w:t>
      </w:r>
    </w:p>
    <w:p>
      <w:pPr>
        <w:pStyle w:val="Heading2"/>
      </w:pPr>
      <w:r>
        <w:t>Regeste</w:t>
      </w:r>
    </w:p>
    <w:p>
      <w:r>
        <w:t>Submission | Submissionen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… Fr. 22'000.--</w:t>
      </w:r>
    </w:p>
    <w:p>
      <w:r>
        <w:rPr>
          <w:b/>
        </w:rPr>
        <w:t>E. 3</w:t>
      </w:r>
    </w:p>
    <w:p>
      <w:r>
        <w:t>Die Firma … hat die Gemeinde … aussergerichtlich mit Fr. 1'000.-- (inkl. MWST) zu entschädigen. Die dagegen an das Bundesgericht erhobene staatsrechtliche Beschwerde wurde am</w:t>
      </w:r>
    </w:p>
    <w:p>
      <w:r>
        <w:rPr>
          <w:b/>
        </w:rPr>
        <w:t>E. 8</w:t>
      </w:r>
    </w:p>
    <w:p>
      <w:r>
        <w:t>März 2006 abgewiesen, soweit darauf eingetreten wurde (2P.54/2006/vje).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